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47" w:rsidRPr="00857145" w:rsidRDefault="00857145" w:rsidP="004F7E47">
      <w:pPr>
        <w:ind w:left="9639"/>
        <w:rPr>
          <w:sz w:val="20"/>
          <w:szCs w:val="20"/>
        </w:rPr>
      </w:pPr>
      <w:bookmarkStart w:id="0" w:name="_GoBack"/>
      <w:bookmarkEnd w:id="0"/>
      <w:r w:rsidRPr="00857145">
        <w:rPr>
          <w:sz w:val="20"/>
          <w:szCs w:val="20"/>
        </w:rPr>
        <w:t xml:space="preserve">Приложение № </w:t>
      </w:r>
      <w:r w:rsidR="004F7E47" w:rsidRPr="00857145">
        <w:rPr>
          <w:sz w:val="20"/>
          <w:szCs w:val="20"/>
        </w:rPr>
        <w:t>1</w:t>
      </w:r>
    </w:p>
    <w:p w:rsidR="004F7E47" w:rsidRPr="00857145" w:rsidRDefault="004F7E47" w:rsidP="004F7E47">
      <w:pPr>
        <w:ind w:left="9639"/>
        <w:rPr>
          <w:sz w:val="20"/>
          <w:szCs w:val="20"/>
        </w:rPr>
      </w:pPr>
      <w:r w:rsidRPr="00857145">
        <w:rPr>
          <w:sz w:val="20"/>
          <w:szCs w:val="20"/>
        </w:rPr>
        <w:t>к муниципальной программе</w:t>
      </w:r>
    </w:p>
    <w:p w:rsidR="00857145" w:rsidRPr="00857145" w:rsidRDefault="00857145" w:rsidP="00857145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857145">
        <w:rPr>
          <w:rFonts w:ascii="Liberation Serif" w:hAnsi="Liberation Serif" w:cs="Liberation Serif"/>
          <w:bCs/>
          <w:iCs/>
          <w:sz w:val="20"/>
          <w:szCs w:val="20"/>
        </w:rPr>
        <w:t xml:space="preserve">«Развитие и повышение </w:t>
      </w:r>
      <w:proofErr w:type="gramStart"/>
      <w:r w:rsidRPr="00857145">
        <w:rPr>
          <w:rFonts w:ascii="Liberation Serif" w:hAnsi="Liberation Serif" w:cs="Liberation Serif"/>
          <w:bCs/>
          <w:iCs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57145">
        <w:rPr>
          <w:rFonts w:ascii="Liberation Serif" w:hAnsi="Liberation Serif" w:cs="Liberation Serif"/>
          <w:bCs/>
          <w:iCs/>
          <w:sz w:val="20"/>
          <w:szCs w:val="20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____________№_____)</w:t>
      </w:r>
    </w:p>
    <w:p w:rsidR="004F7E47" w:rsidRDefault="004F7E47" w:rsidP="004F7E47">
      <w:pPr>
        <w:ind w:left="9639"/>
      </w:pPr>
    </w:p>
    <w:p w:rsidR="00235199" w:rsidRDefault="00235199" w:rsidP="004F7E47">
      <w:pPr>
        <w:ind w:left="9639"/>
      </w:pPr>
    </w:p>
    <w:p w:rsidR="004F7E47" w:rsidRPr="00235199" w:rsidRDefault="004F7E47" w:rsidP="00235199">
      <w:pPr>
        <w:jc w:val="center"/>
        <w:rPr>
          <w:b/>
        </w:rPr>
      </w:pPr>
      <w:r>
        <w:rPr>
          <w:b/>
        </w:rPr>
        <w:t>ЦЕЛИ, ЗАДАЧИ И ЦЕЛЕВЫЕ ПОКАЗАТЕЛИ</w:t>
      </w:r>
      <w:r w:rsidR="003E50E3">
        <w:rPr>
          <w:b/>
        </w:rPr>
        <w:t xml:space="preserve"> </w:t>
      </w:r>
      <w:r>
        <w:rPr>
          <w:b/>
        </w:rPr>
        <w:t>РЕАЛИЗАЦИИ МУНИЦИПАЛЬНОЙ ПРОГРАММЫ «РАЗВИТИЕ И ПОВЫШЕНИЕ</w:t>
      </w:r>
      <w:r w:rsidR="00235199">
        <w:rPr>
          <w:b/>
        </w:rPr>
        <w:t xml:space="preserve"> </w:t>
      </w:r>
      <w:proofErr w:type="gramStart"/>
      <w:r>
        <w:rPr>
          <w:b/>
        </w:rPr>
        <w:t>ЭФФЕКТИВНОСТИ ДЕЯТЕЛЬНОСТИ ОРГАНОВ МЕСТНОГО САМОУПРАВЛЕНИЯ КАМЕНСКОГО ГОРОДСКОГО ОКРУГА</w:t>
      </w:r>
      <w:proofErr w:type="gramEnd"/>
      <w:r>
        <w:rPr>
          <w:b/>
        </w:rPr>
        <w:t xml:space="preserve"> ДО 2026 ГОДА»</w:t>
      </w:r>
    </w:p>
    <w:p w:rsidR="004F7E47" w:rsidRDefault="004F7E47" w:rsidP="004F7E47">
      <w:pPr>
        <w:ind w:left="10632"/>
        <w:rPr>
          <w:rFonts w:asciiTheme="minorHAnsi" w:hAnsiTheme="minorHAns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E2E9C">
        <w:instrText xml:space="preserve">Excel.Sheet.8 "C:\\Users\\Пользователь\\Desktop\\кротик 4\\муниципальная программа\\2021\\МП от декабря 2021\\Цели, задачи,  целевые показатели (1).xls" Данные!R1C1:R29C25 </w:instrText>
      </w:r>
      <w:r>
        <w:instrText xml:space="preserve">\a \f 5 \h  \* MERGEFORMAT </w:instrText>
      </w:r>
      <w:r>
        <w:fldChar w:fldCharType="separate"/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245"/>
        <w:gridCol w:w="851"/>
        <w:gridCol w:w="708"/>
        <w:gridCol w:w="709"/>
        <w:gridCol w:w="709"/>
        <w:gridCol w:w="709"/>
        <w:gridCol w:w="850"/>
        <w:gridCol w:w="851"/>
        <w:gridCol w:w="2835"/>
      </w:tblGrid>
      <w:tr w:rsidR="004F7E47" w:rsidRPr="004F7E47" w:rsidTr="00235199">
        <w:trPr>
          <w:trHeight w:val="2295"/>
        </w:trPr>
        <w:tc>
          <w:tcPr>
            <w:tcW w:w="534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Номер строки</w:t>
            </w:r>
          </w:p>
        </w:tc>
        <w:tc>
          <w:tcPr>
            <w:tcW w:w="127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Номер цели, задачи, целевого показателя</w:t>
            </w:r>
          </w:p>
        </w:tc>
        <w:tc>
          <w:tcPr>
            <w:tcW w:w="524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Наименование цели (целей) и задач, целевых показателей</w:t>
            </w:r>
          </w:p>
        </w:tc>
        <w:tc>
          <w:tcPr>
            <w:tcW w:w="851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Единица измерения</w:t>
            </w:r>
          </w:p>
        </w:tc>
        <w:tc>
          <w:tcPr>
            <w:tcW w:w="708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2021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2025</w:t>
            </w:r>
          </w:p>
        </w:tc>
        <w:tc>
          <w:tcPr>
            <w:tcW w:w="851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2026</w:t>
            </w:r>
          </w:p>
        </w:tc>
        <w:tc>
          <w:tcPr>
            <w:tcW w:w="283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Источник значений показателей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1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>Подпрограмма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2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3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 xml:space="preserve">Задача 1.1. Формирование непрерывного профессионального образования муниципальных служащих, профессиональное </w:t>
            </w:r>
            <w:r w:rsidRPr="004F7E47">
              <w:lastRenderedPageBreak/>
              <w:t>развитие муниципальных служащих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lastRenderedPageBreak/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lastRenderedPageBreak/>
              <w:t>4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1.1.1.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 xml:space="preserve">Доля муниципальных служащих, прошедших </w:t>
            </w:r>
            <w:proofErr w:type="gramStart"/>
            <w:r w:rsidRPr="004F7E47">
              <w:t>обучение по программам</w:t>
            </w:r>
            <w:proofErr w:type="gramEnd"/>
            <w:r w:rsidRPr="004F7E47"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Решение Думы Каменского городского округа от 05.06.2008 N 44 </w:t>
            </w:r>
            <w:r w:rsidRPr="004F7E47"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Закон Свердловской области от 29.10.2007 N 136-ОЗ </w:t>
            </w:r>
            <w:r w:rsidRPr="004F7E47">
              <w:br/>
              <w:t>«Об особенностях муниципальной службы на территории Свердловской области»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8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9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10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Приказ </w:t>
            </w:r>
            <w:proofErr w:type="spellStart"/>
            <w:r w:rsidRPr="004F7E47">
              <w:t>Минздравсоцразвития</w:t>
            </w:r>
            <w:proofErr w:type="spellEnd"/>
            <w:r w:rsidRPr="004F7E47">
              <w:t xml:space="preserve"> РФ от 14.12.2009 N 984н</w:t>
            </w:r>
            <w:proofErr w:type="gramStart"/>
            <w:r w:rsidRPr="004F7E47">
              <w:t>«О</w:t>
            </w:r>
            <w:proofErr w:type="gramEnd"/>
            <w:r w:rsidRPr="004F7E47"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11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12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занятия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13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единица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Федеральный закон от 25.12.2008 N 273-ФЗ «О противодействии коррупции»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14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единица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Федеральный закон от 02.03.2007 N 25-ФЗ </w:t>
            </w:r>
            <w:r w:rsidRPr="004F7E47">
              <w:br/>
              <w:t>"О муниципальной службе в Российской Федерации"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выданных служебных удостоверений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120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18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19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4. Цифровое муниципальное управление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20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21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65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22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4F7E47">
              <w:t>проактивно</w:t>
            </w:r>
            <w:proofErr w:type="spellEnd"/>
            <w:r w:rsidRPr="004F7E47">
              <w:t>)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65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23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80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70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30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24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4.1.4.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4F7E47">
              <w:br/>
              <w:t>бюджетных учреждений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5. Информационная безопасность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75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80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85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95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100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Приказ </w:t>
            </w:r>
            <w:proofErr w:type="spellStart"/>
            <w:r w:rsidRPr="004F7E47">
              <w:t>Минкомсвязи</w:t>
            </w:r>
            <w:proofErr w:type="spellEnd"/>
            <w:r w:rsidRPr="004F7E47">
              <w:t xml:space="preserve"> России от 20.09.2018 N 486</w:t>
            </w:r>
            <w:r w:rsidRPr="004F7E47"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/>
        </w:tc>
        <w:tc>
          <w:tcPr>
            <w:tcW w:w="1275" w:type="dxa"/>
            <w:noWrap/>
            <w:hideMark/>
          </w:tcPr>
          <w:p w:rsidR="00235199" w:rsidRPr="004F7E47" w:rsidRDefault="00235199"/>
        </w:tc>
        <w:tc>
          <w:tcPr>
            <w:tcW w:w="5245" w:type="dxa"/>
            <w:noWrap/>
            <w:hideMark/>
          </w:tcPr>
          <w:p w:rsidR="00235199" w:rsidRPr="004F7E47" w:rsidRDefault="00235199"/>
        </w:tc>
        <w:tc>
          <w:tcPr>
            <w:tcW w:w="851" w:type="dxa"/>
            <w:noWrap/>
            <w:hideMark/>
          </w:tcPr>
          <w:p w:rsidR="00235199" w:rsidRPr="004F7E47" w:rsidRDefault="00235199"/>
        </w:tc>
        <w:tc>
          <w:tcPr>
            <w:tcW w:w="708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850" w:type="dxa"/>
            <w:noWrap/>
            <w:hideMark/>
          </w:tcPr>
          <w:p w:rsidR="00235199" w:rsidRPr="004F7E47" w:rsidRDefault="00235199"/>
        </w:tc>
        <w:tc>
          <w:tcPr>
            <w:tcW w:w="851" w:type="dxa"/>
            <w:noWrap/>
            <w:hideMark/>
          </w:tcPr>
          <w:p w:rsidR="00235199" w:rsidRPr="004F7E47" w:rsidRDefault="00235199"/>
        </w:tc>
        <w:tc>
          <w:tcPr>
            <w:tcW w:w="2835" w:type="dxa"/>
            <w:noWrap/>
            <w:hideMark/>
          </w:tcPr>
          <w:p w:rsidR="00235199" w:rsidRPr="004F7E47" w:rsidRDefault="00235199"/>
        </w:tc>
      </w:tr>
    </w:tbl>
    <w:p w:rsidR="00D1180D" w:rsidRDefault="004F7E47" w:rsidP="004F7E47">
      <w:pPr>
        <w:ind w:left="10206"/>
      </w:pPr>
      <w:r>
        <w:fldChar w:fldCharType="end"/>
      </w:r>
    </w:p>
    <w:sectPr w:rsidR="00D1180D" w:rsidSect="004F7E47">
      <w:pgSz w:w="16838" w:h="11906" w:orient="landscape"/>
      <w:pgMar w:top="1701" w:right="110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1AA" w:rsidRDefault="001C51AA" w:rsidP="004F7E47">
      <w:r>
        <w:separator/>
      </w:r>
    </w:p>
  </w:endnote>
  <w:endnote w:type="continuationSeparator" w:id="0">
    <w:p w:rsidR="001C51AA" w:rsidRDefault="001C51AA" w:rsidP="004F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1AA" w:rsidRDefault="001C51AA" w:rsidP="004F7E47">
      <w:r>
        <w:separator/>
      </w:r>
    </w:p>
  </w:footnote>
  <w:footnote w:type="continuationSeparator" w:id="0">
    <w:p w:rsidR="001C51AA" w:rsidRDefault="001C51AA" w:rsidP="004F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95"/>
    <w:rsid w:val="000006D9"/>
    <w:rsid w:val="000038E5"/>
    <w:rsid w:val="0007176A"/>
    <w:rsid w:val="00141240"/>
    <w:rsid w:val="001C51AA"/>
    <w:rsid w:val="00235199"/>
    <w:rsid w:val="003D00A8"/>
    <w:rsid w:val="003E50E3"/>
    <w:rsid w:val="0044500F"/>
    <w:rsid w:val="004F7E47"/>
    <w:rsid w:val="00712BC7"/>
    <w:rsid w:val="00752DC3"/>
    <w:rsid w:val="00763937"/>
    <w:rsid w:val="007E2E9C"/>
    <w:rsid w:val="008016ED"/>
    <w:rsid w:val="00857145"/>
    <w:rsid w:val="00A04395"/>
    <w:rsid w:val="00A80ED9"/>
    <w:rsid w:val="00BB42B7"/>
    <w:rsid w:val="00C63997"/>
    <w:rsid w:val="00D843ED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4F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8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8E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4F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8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8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2021-12-23T08:51:00Z</cp:lastPrinted>
  <dcterms:created xsi:type="dcterms:W3CDTF">2021-12-23T07:31:00Z</dcterms:created>
  <dcterms:modified xsi:type="dcterms:W3CDTF">2021-12-23T09:47:00Z</dcterms:modified>
</cp:coreProperties>
</file>