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6AC" w:rsidRPr="00D879F8" w:rsidRDefault="00B506AC" w:rsidP="00CC01BA">
      <w:pPr>
        <w:shd w:val="clear" w:color="auto" w:fill="FFFFFF"/>
        <w:ind w:left="5812" w:hanging="142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D879F8">
        <w:rPr>
          <w:rFonts w:ascii="Liberation Serif" w:hAnsi="Liberation Serif" w:cs="Arial"/>
          <w:iCs/>
          <w:color w:val="010101"/>
          <w:sz w:val="28"/>
          <w:szCs w:val="28"/>
        </w:rPr>
        <w:t>Приложение </w:t>
      </w:r>
    </w:p>
    <w:p w:rsidR="00B506AC" w:rsidRPr="001C0F40" w:rsidRDefault="00B506AC" w:rsidP="00CC01BA">
      <w:pPr>
        <w:shd w:val="clear" w:color="auto" w:fill="FFFFFF"/>
        <w:ind w:left="5670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к Программе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5610BE" w:rsidRPr="001C0F40">
        <w:rPr>
          <w:rFonts w:ascii="Liberation Serif" w:hAnsi="Liberation Serif" w:cs="Arial"/>
          <w:iCs/>
          <w:color w:val="010101"/>
          <w:sz w:val="28"/>
          <w:szCs w:val="28"/>
        </w:rPr>
        <w:t>К</w:t>
      </w: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>аменск</w:t>
      </w:r>
      <w:r w:rsidR="005610BE" w:rsidRPr="001C0F40">
        <w:rPr>
          <w:rFonts w:ascii="Liberation Serif" w:hAnsi="Liberation Serif" w:cs="Arial"/>
          <w:iCs/>
          <w:color w:val="010101"/>
          <w:sz w:val="28"/>
          <w:szCs w:val="28"/>
        </w:rPr>
        <w:t>ого муниципального</w:t>
      </w: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 округа</w:t>
      </w:r>
      <w:r w:rsidR="005610BE"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 Свердловской области</w:t>
      </w: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 в 202</w:t>
      </w:r>
      <w:r w:rsidR="005610BE" w:rsidRPr="001C0F40">
        <w:rPr>
          <w:rFonts w:ascii="Liberation Serif" w:hAnsi="Liberation Serif" w:cs="Arial"/>
          <w:iCs/>
          <w:color w:val="010101"/>
          <w:sz w:val="28"/>
          <w:szCs w:val="28"/>
        </w:rPr>
        <w:t>5</w:t>
      </w:r>
      <w:r w:rsidRPr="001C0F40">
        <w:rPr>
          <w:rFonts w:ascii="Liberation Serif" w:hAnsi="Liberation Serif" w:cs="Arial"/>
          <w:iCs/>
          <w:color w:val="010101"/>
          <w:sz w:val="28"/>
          <w:szCs w:val="28"/>
        </w:rPr>
        <w:t xml:space="preserve"> году</w:t>
      </w:r>
    </w:p>
    <w:p w:rsidR="00B506AC" w:rsidRPr="001D4866" w:rsidRDefault="00B506AC" w:rsidP="00B506AC">
      <w:pPr>
        <w:shd w:val="clear" w:color="auto" w:fill="FFFFFF"/>
        <w:ind w:left="3540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</w:p>
    <w:p w:rsidR="00B506AC" w:rsidRPr="004C152D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bCs/>
          <w:color w:val="010101"/>
          <w:sz w:val="28"/>
          <w:szCs w:val="28"/>
        </w:rPr>
        <w:t xml:space="preserve">План мероприятий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по профилактике нарушений в сфере</w:t>
      </w:r>
      <w:r>
        <w:rPr>
          <w:rFonts w:ascii="Liberation Serif" w:hAnsi="Liberation Serif" w:cs="Arial"/>
          <w:b/>
          <w:color w:val="010101"/>
          <w:sz w:val="28"/>
          <w:szCs w:val="28"/>
        </w:rPr>
        <w:t xml:space="preserve"> благоустройства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на территории Каменского </w:t>
      </w:r>
      <w:r w:rsidR="005610BE">
        <w:rPr>
          <w:rFonts w:ascii="Liberation Serif" w:hAnsi="Liberation Serif" w:cs="Arial"/>
          <w:b/>
          <w:color w:val="010101"/>
          <w:sz w:val="28"/>
          <w:szCs w:val="28"/>
        </w:rPr>
        <w:t>муниципального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округа</w:t>
      </w:r>
      <w:r w:rsidR="005610BE">
        <w:rPr>
          <w:rFonts w:ascii="Liberation Serif" w:hAnsi="Liberation Serif" w:cs="Arial"/>
          <w:b/>
          <w:color w:val="010101"/>
          <w:sz w:val="28"/>
          <w:szCs w:val="28"/>
        </w:rPr>
        <w:t xml:space="preserve"> Свердловской области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на 202</w:t>
      </w:r>
      <w:r w:rsidR="005610BE">
        <w:rPr>
          <w:rFonts w:ascii="Liberation Serif" w:hAnsi="Liberation Serif" w:cs="Arial"/>
          <w:b/>
          <w:color w:val="010101"/>
          <w:sz w:val="28"/>
          <w:szCs w:val="28"/>
        </w:rPr>
        <w:t>5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год </w:t>
      </w:r>
    </w:p>
    <w:p w:rsidR="00B506AC" w:rsidRPr="001D4866" w:rsidRDefault="00B506AC" w:rsidP="00B506AC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2308"/>
        <w:gridCol w:w="2828"/>
        <w:gridCol w:w="2003"/>
        <w:gridCol w:w="1872"/>
      </w:tblGrid>
      <w:tr w:rsidR="00B506AC" w:rsidRPr="008171C8" w:rsidTr="000F7EEA"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№</w:t>
            </w:r>
          </w:p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п/п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D879F8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Срок исполнения</w:t>
            </w:r>
          </w:p>
        </w:tc>
      </w:tr>
      <w:tr w:rsidR="00B506AC" w:rsidRPr="008171C8" w:rsidTr="000F7EEA"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Информирование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1D4866" w:rsidRDefault="00B506AC" w:rsidP="005610BE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Размещение на официальном сайте </w:t>
            </w:r>
            <w:r w:rsidR="005610BE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органа муниципального контроля </w:t>
            </w:r>
            <w:r w:rsidRPr="00C8592C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Default="00B506AC" w:rsidP="000F7EEA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  <w:p w:rsidR="00B506AC" w:rsidRPr="001D4866" w:rsidRDefault="00B506AC" w:rsidP="000F7EEA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(по мере необходимости)</w:t>
            </w:r>
          </w:p>
        </w:tc>
      </w:tr>
      <w:tr w:rsidR="00B506AC" w:rsidRPr="001D4866" w:rsidTr="000F7EEA"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Консультирование</w:t>
            </w:r>
          </w:p>
        </w:tc>
        <w:tc>
          <w:tcPr>
            <w:tcW w:w="2828" w:type="dxa"/>
            <w:shd w:val="clear" w:color="auto" w:fill="FFFFFF"/>
            <w:hideMark/>
          </w:tcPr>
          <w:p w:rsidR="00B506AC" w:rsidRPr="00F9590B" w:rsidRDefault="00B506AC" w:rsidP="000F7EE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F9590B">
              <w:rPr>
                <w:rFonts w:ascii="Liberation Serif" w:hAnsi="Liberation Serif" w:cs="Liberation Serif"/>
                <w:sz w:val="24"/>
                <w:szCs w:val="24"/>
              </w:rPr>
              <w:t>Консультирование осуществляется должностными лицами органа муниципального контроля по телефону, на личном приеме, либо в ходе проведения профилактического мероприятия, контрольного мероприятия.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Консультирование, осуществляется по следующим вопросам: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B506AC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F9590B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B506AC" w:rsidRPr="00F9590B" w:rsidRDefault="00B506AC" w:rsidP="000F7EEA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-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порядок обжалования решений уполномоченного органа, действий (бездействия) должностных лиц органа муниципального контроля.</w:t>
            </w:r>
          </w:p>
          <w:p w:rsidR="00B506AC" w:rsidRPr="00F9590B" w:rsidRDefault="00B506AC" w:rsidP="005610BE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По однотипным обращениям контролируемых лиц и их представителей по указанным вопросам, консультирование осуществляется посредством размещения на официальном сайте </w:t>
            </w:r>
            <w:r w:rsidR="005610BE">
              <w:rPr>
                <w:rFonts w:ascii="Liberation Serif" w:hAnsi="Liberation Serif" w:cs="Liberation Serif"/>
                <w:sz w:val="24"/>
                <w:szCs w:val="24"/>
              </w:rPr>
              <w:t>органа муниципального контроля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 в сети «Интернет» письменного разъяснения, подписанного уполномоченным должностным лицом органа муниципального контроля.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</w:t>
            </w: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B506AC" w:rsidRPr="001D4866" w:rsidRDefault="00B506AC" w:rsidP="000F7EEA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681081" w:rsidRPr="001D4866" w:rsidTr="000F7EEA"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3</w:t>
            </w:r>
          </w:p>
        </w:tc>
        <w:tc>
          <w:tcPr>
            <w:tcW w:w="2308" w:type="dxa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</w:t>
            </w:r>
          </w:p>
        </w:tc>
        <w:tc>
          <w:tcPr>
            <w:tcW w:w="2828" w:type="dxa"/>
            <w:shd w:val="clear" w:color="auto" w:fill="FFFFFF"/>
          </w:tcPr>
          <w:p w:rsidR="00681081" w:rsidRPr="00B94690" w:rsidRDefault="00681081" w:rsidP="00681081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Обязательный профилактический визит проводится в отношении</w:t>
            </w:r>
          </w:p>
          <w:p w:rsidR="00681081" w:rsidRPr="00B94690" w:rsidRDefault="00681081" w:rsidP="00681081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 xml:space="preserve"> объектов контроля, отнесенных </w:t>
            </w:r>
            <w:r w:rsidR="00F43292">
              <w:rPr>
                <w:rFonts w:ascii="Liberation Serif" w:hAnsi="Liberation Serif" w:cs="Liberation Serif"/>
                <w:sz w:val="24"/>
                <w:szCs w:val="24"/>
              </w:rPr>
              <w:t>к категории значительного риска.</w:t>
            </w:r>
          </w:p>
          <w:p w:rsidR="00681081" w:rsidRPr="00B94690" w:rsidRDefault="00681081" w:rsidP="00F43292">
            <w:pPr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Профилактический визит проводится инспектором в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В ходе профилактического визита инспектором может осуществляться консультирование контролируемого лица в порядке, установленном пунктом </w:t>
            </w:r>
            <w:r w:rsidR="00F43292"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настоящего Плана, а также статьей 50 </w:t>
            </w:r>
            <w:bookmarkStart w:id="0" w:name="_GoBack"/>
            <w:bookmarkEnd w:id="0"/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Федерального закона от 31.07.2020 № 248-ФЗ.</w:t>
            </w:r>
          </w:p>
          <w:p w:rsidR="00681081" w:rsidRPr="00B94690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рекомендательный характер.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681081" w:rsidRPr="001D4866" w:rsidTr="000F7EEA"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4</w:t>
            </w:r>
          </w:p>
        </w:tc>
        <w:tc>
          <w:tcPr>
            <w:tcW w:w="2308" w:type="dxa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828" w:type="dxa"/>
            <w:shd w:val="clear" w:color="auto" w:fill="FFFFFF"/>
          </w:tcPr>
          <w:p w:rsidR="00681081" w:rsidRPr="001D4866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  <w:p w:rsidR="00681081" w:rsidRPr="001D4866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Администрацию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Администрацией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несогласия с возражением указываются соответствующие обоснования.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681081" w:rsidRPr="001D4866" w:rsidTr="000F7EEA">
        <w:tc>
          <w:tcPr>
            <w:tcW w:w="0" w:type="auto"/>
            <w:shd w:val="clear" w:color="auto" w:fill="FFFFFF"/>
          </w:tcPr>
          <w:p w:rsidR="00681081" w:rsidRPr="001D4866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5</w:t>
            </w:r>
          </w:p>
        </w:tc>
        <w:tc>
          <w:tcPr>
            <w:tcW w:w="2308" w:type="dxa"/>
            <w:shd w:val="clear" w:color="auto" w:fill="FFFFFF"/>
          </w:tcPr>
          <w:p w:rsidR="00681081" w:rsidRPr="001D4866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828" w:type="dxa"/>
            <w:shd w:val="clear" w:color="auto" w:fill="FFFFFF"/>
          </w:tcPr>
          <w:p w:rsidR="00681081" w:rsidRDefault="00681081" w:rsidP="00681081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Обобщение правоприменительной практики осуществляется в форме доклада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681081" w:rsidRDefault="00681081" w:rsidP="00681081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докладе используется информация о проведённых контрольных мероприятиях, профилактических мероприятиях, результаты административной и судебной практики.</w:t>
            </w:r>
          </w:p>
          <w:p w:rsidR="00681081" w:rsidRPr="001D4866" w:rsidRDefault="00681081" w:rsidP="00681081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Размещается на официальном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сайт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ного контроля в информаци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онно-телеком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муникацион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ной сети «Ин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тернет»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9466D7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https://kamensk-adm.ru/munitsipalnyj-kontrol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681081" w:rsidRPr="001D4866" w:rsidRDefault="00681081" w:rsidP="00681081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</w:t>
            </w: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t>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:rsidR="00681081" w:rsidRDefault="00681081" w:rsidP="00681081">
            <w:pPr>
              <w:jc w:val="center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до 01 апреля </w:t>
            </w:r>
          </w:p>
          <w:p w:rsidR="00681081" w:rsidRPr="001D4866" w:rsidRDefault="00681081" w:rsidP="00681081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202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6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C069F3" w:rsidRDefault="00C069F3"/>
    <w:sectPr w:rsidR="00C069F3" w:rsidSect="00B506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5A9" w:rsidRDefault="009165A9" w:rsidP="00B506AC">
      <w:r>
        <w:separator/>
      </w:r>
    </w:p>
  </w:endnote>
  <w:endnote w:type="continuationSeparator" w:id="0">
    <w:p w:rsidR="009165A9" w:rsidRDefault="009165A9" w:rsidP="00B50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5A9" w:rsidRDefault="009165A9" w:rsidP="00B506AC">
      <w:r>
        <w:separator/>
      </w:r>
    </w:p>
  </w:footnote>
  <w:footnote w:type="continuationSeparator" w:id="0">
    <w:p w:rsidR="009165A9" w:rsidRDefault="009165A9" w:rsidP="00B50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53194"/>
      <w:docPartObj>
        <w:docPartGallery w:val="Page Numbers (Top of Page)"/>
        <w:docPartUnique/>
      </w:docPartObj>
    </w:sdtPr>
    <w:sdtEndPr/>
    <w:sdtContent>
      <w:p w:rsidR="00B506AC" w:rsidRDefault="00B506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1BA">
          <w:rPr>
            <w:noProof/>
          </w:rPr>
          <w:t>6</w:t>
        </w:r>
        <w:r>
          <w:fldChar w:fldCharType="end"/>
        </w:r>
      </w:p>
    </w:sdtContent>
  </w:sdt>
  <w:p w:rsidR="00B506AC" w:rsidRDefault="00B506A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6AC" w:rsidRDefault="00B506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5C"/>
    <w:rsid w:val="000C02C0"/>
    <w:rsid w:val="001C0F40"/>
    <w:rsid w:val="002A3674"/>
    <w:rsid w:val="005610BE"/>
    <w:rsid w:val="00681081"/>
    <w:rsid w:val="009165A9"/>
    <w:rsid w:val="009901DA"/>
    <w:rsid w:val="00A54831"/>
    <w:rsid w:val="00B506AC"/>
    <w:rsid w:val="00BA315C"/>
    <w:rsid w:val="00C069F3"/>
    <w:rsid w:val="00CC01BA"/>
    <w:rsid w:val="00E50803"/>
    <w:rsid w:val="00EC0DC0"/>
    <w:rsid w:val="00F4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67772"/>
  <w15:chartTrackingRefBased/>
  <w15:docId w15:val="{1750EAD0-7014-4A1D-BFED-09C49E16B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06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06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506A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06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CC0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8</cp:revision>
  <dcterms:created xsi:type="dcterms:W3CDTF">2022-10-05T10:15:00Z</dcterms:created>
  <dcterms:modified xsi:type="dcterms:W3CDTF">2024-09-19T05:27:00Z</dcterms:modified>
</cp:coreProperties>
</file>